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bCs/>
          <w:color w:themeColor="text1" w:val="000000"/>
          <w:sz w:val="28"/>
          <w:szCs w:val="28"/>
        </w:rPr>
        <w:t>ЗРАЗОК №6</w:t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Командиру батальйонно-тактичної групи</w:t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військової  частини  А0000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РАПОРТ</w:t>
      </w:r>
    </w:p>
    <w:p>
      <w:pPr>
        <w:pStyle w:val="Normal"/>
        <w:spacing w:lineRule="auto" w:line="240" w:before="0" w:after="0"/>
        <w:ind w:firstLine="70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Для забезпечення виконання бойових (спеціальних) завдань в складі батальйонно-тактичної групи військової частини А0000 прошу Вас надати зведеній артилерійській батареї батальйонно-тактичної групи військової частини А0000:</w:t>
      </w:r>
    </w:p>
    <w:tbl>
      <w:tblPr>
        <w:tblStyle w:val="ae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66"/>
        <w:gridCol w:w="6045"/>
        <w:gridCol w:w="1235"/>
        <w:gridCol w:w="1682"/>
      </w:tblGrid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№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Назва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Одиниці вимір.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Кількість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1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ФАБ-8,5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2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МОА-400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МОА-900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УАБ-2,5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Командир  зведеної артилерійської батареї батальйонно-тактичної групи військової частини А0000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звання</w:t>
        <w:tab/>
        <w:tab/>
        <w:tab/>
        <w:tab/>
        <w:tab/>
        <w:tab/>
        <w:tab/>
        <w:tab/>
        <w:tab/>
        <w:t xml:space="preserve">        Ім'я ПРІЗВИЩЕ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___.____.2025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Командиру військової частини А0000</w:t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РАПОРТ</w:t>
      </w:r>
    </w:p>
    <w:p>
      <w:pPr>
        <w:pStyle w:val="Normal"/>
        <w:spacing w:lineRule="auto" w:line="240" w:before="0" w:after="0"/>
        <w:ind w:firstLine="70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Клопочу по суті рапорту командира зведеної артилерійської батареї батальйонно-тактичної групи військової частини А0000, старшого лейтенанта ______________________________ .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Командир батальйонно-тактичної групи військової частини А0000   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звання</w:t>
        <w:tab/>
        <w:tab/>
        <w:tab/>
        <w:tab/>
        <w:tab/>
        <w:tab/>
        <w:tab/>
        <w:tab/>
        <w:tab/>
        <w:t xml:space="preserve">        Ім'я ПРІЗВИЩЕ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____.____.2025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ПОГОДЖЕНО:</w:t>
        <w:br/>
        <w:t>Начальник служби засобів ураження військової частини А0000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звання</w:t>
        <w:tab/>
        <w:tab/>
        <w:tab/>
        <w:tab/>
        <w:tab/>
        <w:tab/>
        <w:tab/>
        <w:tab/>
        <w:tab/>
        <w:t xml:space="preserve">        Ім'я ПРІЗВИЩЕ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___.____.2025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ptos" w:cs="Times New Roman" w:eastAsia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7bff"/>
    <w:pPr>
      <w:widowControl/>
      <w:bidi w:val="0"/>
      <w:spacing w:lineRule="auto" w:line="278" w:before="0" w:after="160"/>
      <w:jc w:val="start"/>
    </w:pPr>
    <w:rPr>
      <w:rFonts w:ascii="Times New Roman" w:hAnsi="Times New Roman" w:eastAsia="Aptos" w:cs="Times New Roman" w:eastAsiaTheme="minorHAnsi"/>
      <w:color w:val="auto"/>
      <w:kern w:val="2"/>
      <w:sz w:val="24"/>
      <w:szCs w:val="24"/>
      <w:lang w:val="uk-UA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cf7bf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f7bf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f7bff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f7bff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f7bff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f7bff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f7bff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f7bff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f7bff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f7bf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f7bf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cf7bf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cf7bff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cf7bf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f7bff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cf7bf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f7bff"/>
    <w:rPr>
      <w:b/>
      <w:bCs/>
      <w:smallCaps/>
      <w:color w:themeColor="accent1" w:themeShade="bf" w:val="0F4761"/>
      <w:spacing w:val="5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0">
    <w:name w:val="Покажчик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Style5"/>
    <w:uiPriority w:val="10"/>
    <w:qFormat/>
    <w:rsid w:val="00cf7bf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cf7bff"/>
    <w:pPr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cf7bf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f7bff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cf7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Style11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cf7b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Collabora_Office/25.04.4.2$Linux_X86_64 LibreOffice_project/bac909971af4c6e920008f7c0c3d0cf2afeca619</Application>
  <AppVersion>15.0000</AppVersion>
  <Pages>1</Pages>
  <Words>107</Words>
  <Characters>831</Characters>
  <CharactersWithSpaces>1062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2025-11-13T13:54:00Z</dcterms:created>
  <dc:creator>user</dc:creator>
  <dc:description/>
  <dc:language>uk-UA</dc:language>
  <cp:lastModifiedBy/>
  <dcterms:modified xsi:type="dcterms:W3CDTF">2025-12-16T10:38:42Z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