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8395" w14:textId="346383E5" w:rsidR="001B5D53" w:rsidRPr="007C1753" w:rsidRDefault="00883936" w:rsidP="007C1753">
      <w:pPr>
        <w:spacing w:before="150" w:after="150" w:line="240" w:lineRule="auto"/>
        <w:ind w:left="450" w:right="450"/>
        <w:jc w:val="right"/>
        <w:rPr>
          <w:rFonts w:eastAsia="Times New Roman"/>
          <w:b/>
          <w:bCs/>
          <w:color w:val="333333"/>
          <w:szCs w:val="28"/>
          <w:lang w:eastAsia="uk-UA"/>
        </w:rPr>
      </w:pPr>
      <w:r w:rsidRPr="007C1753">
        <w:rPr>
          <w:rFonts w:eastAsia="Times New Roman"/>
          <w:b/>
          <w:bCs/>
          <w:color w:val="333333"/>
          <w:szCs w:val="28"/>
          <w:lang w:eastAsia="uk-UA"/>
        </w:rPr>
        <w:t xml:space="preserve">Зразок </w:t>
      </w:r>
      <w:r w:rsidR="007C1753">
        <w:rPr>
          <w:rFonts w:eastAsia="Times New Roman"/>
          <w:b/>
          <w:bCs/>
          <w:color w:val="333333"/>
          <w:szCs w:val="28"/>
          <w:lang w:eastAsia="uk-UA"/>
        </w:rPr>
        <w:t>12</w:t>
      </w:r>
    </w:p>
    <w:p w14:paraId="1E774812" w14:textId="61F1DC17" w:rsidR="00141C10" w:rsidRPr="00141C10" w:rsidRDefault="006A71F5" w:rsidP="00141C10">
      <w:pPr>
        <w:spacing w:before="150" w:after="150" w:line="240" w:lineRule="auto"/>
        <w:ind w:left="450" w:right="450"/>
        <w:jc w:val="center"/>
        <w:rPr>
          <w:rFonts w:eastAsia="Times New Roman"/>
          <w:color w:val="333333"/>
          <w:sz w:val="32"/>
          <w:szCs w:val="32"/>
          <w:lang w:eastAsia="uk-UA"/>
        </w:rPr>
      </w:pPr>
      <w:r>
        <w:rPr>
          <w:rFonts w:eastAsia="Times New Roman"/>
          <w:b/>
          <w:bCs/>
          <w:color w:val="333333"/>
          <w:sz w:val="32"/>
          <w:szCs w:val="32"/>
          <w:lang w:eastAsia="uk-UA"/>
        </w:rPr>
        <w:t>Інструкція із заходів</w:t>
      </w:r>
      <w:r w:rsidR="00141C10" w:rsidRPr="00141C10">
        <w:rPr>
          <w:rFonts w:eastAsia="Times New Roman"/>
          <w:b/>
          <w:bCs/>
          <w:color w:val="333333"/>
          <w:sz w:val="32"/>
          <w:szCs w:val="32"/>
          <w:lang w:eastAsia="uk-UA"/>
        </w:rPr>
        <w:t xml:space="preserve"> безпеки та поведінки особового складу військового ешелону</w:t>
      </w:r>
    </w:p>
    <w:p w14:paraId="61149A87" w14:textId="77777777" w:rsidR="00141C10" w:rsidRPr="00141C10" w:rsidRDefault="00141C10" w:rsidP="00141C10">
      <w:pPr>
        <w:spacing w:after="150" w:line="240" w:lineRule="auto"/>
        <w:ind w:firstLine="450"/>
        <w:jc w:val="center"/>
        <w:rPr>
          <w:rFonts w:eastAsia="Times New Roman"/>
          <w:b/>
          <w:bCs/>
          <w:color w:val="333333"/>
          <w:szCs w:val="28"/>
          <w:lang w:eastAsia="uk-UA"/>
        </w:rPr>
      </w:pPr>
      <w:bookmarkStart w:id="0" w:name="n115"/>
      <w:bookmarkEnd w:id="0"/>
      <w:r w:rsidRPr="00141C10">
        <w:rPr>
          <w:rFonts w:eastAsia="Times New Roman"/>
          <w:b/>
          <w:bCs/>
          <w:color w:val="333333"/>
          <w:szCs w:val="28"/>
          <w:lang w:eastAsia="uk-UA"/>
        </w:rPr>
        <w:t>1. Загальні положення</w:t>
      </w:r>
    </w:p>
    <w:p w14:paraId="6E790B8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 w:name="n116"/>
      <w:bookmarkEnd w:id="1"/>
      <w:r w:rsidRPr="00141C10">
        <w:rPr>
          <w:rFonts w:eastAsia="Times New Roman"/>
          <w:color w:val="333333"/>
          <w:szCs w:val="28"/>
          <w:lang w:eastAsia="uk-UA"/>
        </w:rPr>
        <w:t>1.1. Особовий склад військового ешелону (військової команди) зобов’язаний дотримуватися військової дисципліни, вимог статутів Збройних Сил України, наказів і розпоряджень командирів і начальників, знати і виконувати правила поведінки та заходи безпеки під час перевезення.</w:t>
      </w:r>
    </w:p>
    <w:p w14:paraId="34BC15C2"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 w:name="n117"/>
      <w:bookmarkEnd w:id="2"/>
      <w:r w:rsidRPr="00141C10">
        <w:rPr>
          <w:rFonts w:eastAsia="Times New Roman"/>
          <w:color w:val="333333"/>
          <w:szCs w:val="28"/>
          <w:lang w:eastAsia="uk-UA"/>
        </w:rPr>
        <w:t>1.2. Особовий склад, який слідує в складі військового ешелону (військової команди), повинен знати його номер, військове звання та прізвище начальника військового ешелону (військової команди).</w:t>
      </w:r>
    </w:p>
    <w:p w14:paraId="2E9B738B"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 w:name="n118"/>
      <w:bookmarkEnd w:id="3"/>
      <w:r w:rsidRPr="00141C10">
        <w:rPr>
          <w:rFonts w:eastAsia="Times New Roman"/>
          <w:color w:val="333333"/>
          <w:szCs w:val="28"/>
          <w:lang w:eastAsia="uk-UA"/>
        </w:rPr>
        <w:t>1.3. Військовослужбовець, який відстав від військового ешелону (військової команди), зобов’язаний негайно прибути до військового коменданта на транспорті, а там, де його немає, - до начальника станції (порту, аеропорту), доповісти (повідомити) причину відставання, назвати номер військового ешелону (військової команди) і надалі діяти за його наказом.</w:t>
      </w:r>
    </w:p>
    <w:p w14:paraId="1CAC5A9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4" w:name="n119"/>
      <w:bookmarkEnd w:id="4"/>
      <w:r w:rsidRPr="00141C10">
        <w:rPr>
          <w:rFonts w:eastAsia="Times New Roman"/>
          <w:color w:val="333333"/>
          <w:szCs w:val="28"/>
          <w:lang w:eastAsia="uk-UA"/>
        </w:rPr>
        <w:t>1.4. Особовому складу військового ешелону (військової команди) забороняється:</w:t>
      </w:r>
    </w:p>
    <w:p w14:paraId="1B1C041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5" w:name="n120"/>
      <w:bookmarkEnd w:id="5"/>
      <w:r w:rsidRPr="00141C10">
        <w:rPr>
          <w:rFonts w:eastAsia="Times New Roman"/>
          <w:color w:val="333333"/>
          <w:szCs w:val="28"/>
          <w:lang w:eastAsia="uk-UA"/>
        </w:rPr>
        <w:t>втручатися в роботу посадових осіб органів військових сполучень і транспорту;</w:t>
      </w:r>
    </w:p>
    <w:p w14:paraId="1CD5806F" w14:textId="10AA923B" w:rsidR="00141C10" w:rsidRPr="00141C10" w:rsidRDefault="00141C10" w:rsidP="00141C10">
      <w:pPr>
        <w:spacing w:after="150" w:line="240" w:lineRule="auto"/>
        <w:ind w:firstLine="450"/>
        <w:jc w:val="both"/>
        <w:rPr>
          <w:rFonts w:eastAsia="Times New Roman"/>
          <w:color w:val="333333"/>
          <w:szCs w:val="28"/>
          <w:lang w:eastAsia="uk-UA"/>
        </w:rPr>
      </w:pPr>
      <w:bookmarkStart w:id="6" w:name="n121"/>
      <w:bookmarkEnd w:id="6"/>
      <w:r w:rsidRPr="00141C10">
        <w:rPr>
          <w:rFonts w:eastAsia="Times New Roman"/>
          <w:color w:val="333333"/>
          <w:szCs w:val="28"/>
          <w:lang w:eastAsia="uk-UA"/>
        </w:rPr>
        <w:t>затримувати поїзд  довше, ніж потрібно для стоянки;</w:t>
      </w:r>
    </w:p>
    <w:p w14:paraId="13C95D2E" w14:textId="1A4CD2A4" w:rsidR="00141C10" w:rsidRPr="00141C10" w:rsidRDefault="00141C10" w:rsidP="00141C10">
      <w:pPr>
        <w:spacing w:after="150" w:line="240" w:lineRule="auto"/>
        <w:ind w:firstLine="450"/>
        <w:jc w:val="both"/>
        <w:rPr>
          <w:rFonts w:eastAsia="Times New Roman"/>
          <w:color w:val="333333"/>
          <w:szCs w:val="28"/>
          <w:lang w:eastAsia="uk-UA"/>
        </w:rPr>
      </w:pPr>
      <w:bookmarkStart w:id="7" w:name="n122"/>
      <w:bookmarkEnd w:id="7"/>
      <w:r w:rsidRPr="00141C10">
        <w:rPr>
          <w:rFonts w:eastAsia="Times New Roman"/>
          <w:color w:val="333333"/>
          <w:szCs w:val="28"/>
          <w:lang w:eastAsia="uk-UA"/>
        </w:rPr>
        <w:t>здійснювати посадку та висадку  до подання встановленої команди або сигналу, стрибати у вагони або вистрибувати з них під час руху поїзда;</w:t>
      </w:r>
    </w:p>
    <w:p w14:paraId="2F08700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8" w:name="n124"/>
      <w:bookmarkEnd w:id="8"/>
      <w:r w:rsidRPr="00141C10">
        <w:rPr>
          <w:rFonts w:eastAsia="Times New Roman"/>
          <w:color w:val="333333"/>
          <w:szCs w:val="28"/>
          <w:lang w:eastAsia="uk-UA"/>
        </w:rPr>
        <w:t>зупиняти поїзд стоп-краном, крім випадків виникнення загрози безпеці руху поїзда або життю людей;</w:t>
      </w:r>
    </w:p>
    <w:p w14:paraId="71BE6680" w14:textId="1039A30A" w:rsidR="00141C10" w:rsidRPr="00141C10" w:rsidRDefault="00141C10" w:rsidP="00141C10">
      <w:pPr>
        <w:spacing w:after="150" w:line="240" w:lineRule="auto"/>
        <w:ind w:firstLine="450"/>
        <w:jc w:val="both"/>
        <w:rPr>
          <w:rFonts w:eastAsia="Times New Roman"/>
          <w:color w:val="333333"/>
          <w:szCs w:val="28"/>
          <w:lang w:eastAsia="uk-UA"/>
        </w:rPr>
      </w:pPr>
      <w:bookmarkStart w:id="9" w:name="n125"/>
      <w:bookmarkEnd w:id="9"/>
      <w:r w:rsidRPr="00141C10">
        <w:rPr>
          <w:rFonts w:eastAsia="Times New Roman"/>
          <w:color w:val="333333"/>
          <w:szCs w:val="28"/>
          <w:lang w:eastAsia="uk-UA"/>
        </w:rPr>
        <w:t>робити на вагонах  написи, наклеювати і вивішувати плакати, гасла, прапорці;</w:t>
      </w:r>
    </w:p>
    <w:p w14:paraId="306F31EA" w14:textId="0E3078B9" w:rsidR="00141C10" w:rsidRPr="00141C10" w:rsidRDefault="00141C10" w:rsidP="00141C10">
      <w:pPr>
        <w:spacing w:after="150" w:line="240" w:lineRule="auto"/>
        <w:ind w:firstLine="450"/>
        <w:jc w:val="both"/>
        <w:rPr>
          <w:rFonts w:eastAsia="Times New Roman"/>
          <w:color w:val="333333"/>
          <w:szCs w:val="28"/>
          <w:lang w:eastAsia="uk-UA"/>
        </w:rPr>
      </w:pPr>
      <w:bookmarkStart w:id="10" w:name="n126"/>
      <w:bookmarkEnd w:id="10"/>
      <w:r w:rsidRPr="00141C10">
        <w:rPr>
          <w:rFonts w:eastAsia="Times New Roman"/>
          <w:color w:val="333333"/>
          <w:szCs w:val="28"/>
          <w:lang w:eastAsia="uk-UA"/>
        </w:rPr>
        <w:t>повідомляти в листах і телеграмах найменування військової частини і згадувати про перевезення, а також вести про це розмови зі сторонніми особами; залишати на місцях навантаження (розвантаження) та у вагонах листи, газети, папери;</w:t>
      </w:r>
    </w:p>
    <w:p w14:paraId="34DAA9C3"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1" w:name="n127"/>
      <w:bookmarkEnd w:id="11"/>
      <w:r w:rsidRPr="00141C10">
        <w:rPr>
          <w:rFonts w:eastAsia="Times New Roman"/>
          <w:color w:val="333333"/>
          <w:szCs w:val="28"/>
          <w:lang w:eastAsia="uk-UA"/>
        </w:rPr>
        <w:t>перебувати на дахах вагонів, платформах, гальмівних майданчиках, у кабінах і кузовах машин, баштах танків, а на електрифікованих ділянках залізниці, крім того, торкатися металевих опор і пристроїв заземлення контактної мережі, наближатися до контактного дроту ближче ніж на 2 м;</w:t>
      </w:r>
    </w:p>
    <w:p w14:paraId="3B7B57C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2" w:name="n128"/>
      <w:bookmarkStart w:id="13" w:name="n129"/>
      <w:bookmarkEnd w:id="12"/>
      <w:bookmarkEnd w:id="13"/>
      <w:r w:rsidRPr="00141C10">
        <w:rPr>
          <w:rFonts w:eastAsia="Times New Roman"/>
          <w:color w:val="333333"/>
          <w:szCs w:val="28"/>
          <w:lang w:eastAsia="uk-UA"/>
        </w:rPr>
        <w:t>сидіти або стояти у дверях вагонів, на борту корабля, спиратися на дверні закладки вагонів;</w:t>
      </w:r>
    </w:p>
    <w:p w14:paraId="05E474B9" w14:textId="74940C9F" w:rsidR="00141C10" w:rsidRPr="00141C10" w:rsidRDefault="00141C10" w:rsidP="00141C10">
      <w:pPr>
        <w:spacing w:after="150" w:line="240" w:lineRule="auto"/>
        <w:ind w:firstLine="450"/>
        <w:jc w:val="both"/>
        <w:rPr>
          <w:rFonts w:eastAsia="Times New Roman"/>
          <w:color w:val="333333"/>
          <w:szCs w:val="28"/>
          <w:lang w:eastAsia="uk-UA"/>
        </w:rPr>
      </w:pPr>
      <w:bookmarkStart w:id="14" w:name="n130"/>
      <w:bookmarkEnd w:id="14"/>
      <w:r w:rsidRPr="00141C10">
        <w:rPr>
          <w:rFonts w:eastAsia="Times New Roman"/>
          <w:color w:val="333333"/>
          <w:szCs w:val="28"/>
          <w:lang w:eastAsia="uk-UA"/>
        </w:rPr>
        <w:t>застосовувати у вагонах  не передбачені правилами види освітлення та опалення;</w:t>
      </w:r>
    </w:p>
    <w:p w14:paraId="285E8C7D"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5" w:name="n131"/>
      <w:bookmarkEnd w:id="15"/>
      <w:r w:rsidRPr="00141C10">
        <w:rPr>
          <w:rFonts w:eastAsia="Times New Roman"/>
          <w:color w:val="333333"/>
          <w:szCs w:val="28"/>
          <w:lang w:eastAsia="uk-UA"/>
        </w:rPr>
        <w:lastRenderedPageBreak/>
        <w:t>заправляти (</w:t>
      </w:r>
      <w:proofErr w:type="spellStart"/>
      <w:r w:rsidRPr="00141C10">
        <w:rPr>
          <w:rFonts w:eastAsia="Times New Roman"/>
          <w:color w:val="333333"/>
          <w:szCs w:val="28"/>
          <w:lang w:eastAsia="uk-UA"/>
        </w:rPr>
        <w:t>дозаправляти</w:t>
      </w:r>
      <w:proofErr w:type="spellEnd"/>
      <w:r w:rsidRPr="00141C10">
        <w:rPr>
          <w:rFonts w:eastAsia="Times New Roman"/>
          <w:color w:val="333333"/>
          <w:szCs w:val="28"/>
          <w:lang w:eastAsia="uk-UA"/>
        </w:rPr>
        <w:t>) пальним техніку після завантаження;</w:t>
      </w:r>
    </w:p>
    <w:p w14:paraId="6F0A978D" w14:textId="77777777" w:rsidR="00141C10" w:rsidRDefault="00141C10" w:rsidP="00141C10">
      <w:pPr>
        <w:spacing w:after="150" w:line="240" w:lineRule="auto"/>
        <w:ind w:firstLine="450"/>
        <w:jc w:val="both"/>
        <w:rPr>
          <w:rFonts w:eastAsia="Times New Roman"/>
          <w:color w:val="333333"/>
          <w:szCs w:val="28"/>
          <w:lang w:eastAsia="uk-UA"/>
        </w:rPr>
      </w:pPr>
      <w:bookmarkStart w:id="16" w:name="n132"/>
      <w:bookmarkEnd w:id="16"/>
      <w:r w:rsidRPr="00141C10">
        <w:rPr>
          <w:rFonts w:eastAsia="Times New Roman"/>
          <w:color w:val="333333"/>
          <w:szCs w:val="28"/>
          <w:lang w:eastAsia="uk-UA"/>
        </w:rPr>
        <w:t xml:space="preserve">ходити без потреби залізничними коліями, засмічувати територію й розпалювати багаття в межах станцій; </w:t>
      </w:r>
    </w:p>
    <w:p w14:paraId="4E40627D" w14:textId="2E904096" w:rsidR="00141C10" w:rsidRPr="00141C10" w:rsidRDefault="00141C10" w:rsidP="00141C10">
      <w:pPr>
        <w:spacing w:after="150" w:line="240" w:lineRule="auto"/>
        <w:ind w:firstLine="450"/>
        <w:jc w:val="both"/>
        <w:rPr>
          <w:rFonts w:eastAsia="Times New Roman"/>
          <w:color w:val="333333"/>
          <w:szCs w:val="28"/>
          <w:lang w:eastAsia="uk-UA"/>
        </w:rPr>
      </w:pPr>
      <w:r w:rsidRPr="00141C10">
        <w:rPr>
          <w:rFonts w:eastAsia="Times New Roman"/>
          <w:color w:val="333333"/>
          <w:szCs w:val="28"/>
          <w:lang w:eastAsia="uk-UA"/>
        </w:rPr>
        <w:t>самостійно користуватися транспортним майном;</w:t>
      </w:r>
    </w:p>
    <w:p w14:paraId="170F2F67" w14:textId="0464ECFE" w:rsidR="00141C10" w:rsidRDefault="00141C10" w:rsidP="00141C10">
      <w:pPr>
        <w:spacing w:after="150" w:line="240" w:lineRule="auto"/>
        <w:ind w:firstLine="450"/>
        <w:jc w:val="both"/>
        <w:rPr>
          <w:rFonts w:eastAsia="Times New Roman"/>
          <w:color w:val="333333"/>
          <w:szCs w:val="28"/>
          <w:lang w:eastAsia="uk-UA"/>
        </w:rPr>
      </w:pPr>
      <w:bookmarkStart w:id="17" w:name="n133"/>
      <w:bookmarkEnd w:id="17"/>
      <w:r w:rsidRPr="00141C10">
        <w:rPr>
          <w:rFonts w:eastAsia="Times New Roman"/>
          <w:color w:val="333333"/>
          <w:szCs w:val="28"/>
          <w:lang w:eastAsia="uk-UA"/>
        </w:rPr>
        <w:t>викидати на стоянках і під час руху будь-які речі з вагонів.</w:t>
      </w:r>
    </w:p>
    <w:p w14:paraId="55BD93D3" w14:textId="77777777" w:rsidR="00141C10" w:rsidRPr="00141C10" w:rsidRDefault="00141C10" w:rsidP="00141C10">
      <w:pPr>
        <w:spacing w:after="150" w:line="240" w:lineRule="auto"/>
        <w:ind w:firstLine="450"/>
        <w:jc w:val="center"/>
        <w:rPr>
          <w:rFonts w:eastAsia="Times New Roman"/>
          <w:b/>
          <w:bCs/>
          <w:color w:val="333333"/>
          <w:szCs w:val="28"/>
          <w:lang w:eastAsia="uk-UA"/>
        </w:rPr>
      </w:pPr>
      <w:r w:rsidRPr="00141C10">
        <w:rPr>
          <w:rFonts w:eastAsia="Times New Roman"/>
          <w:b/>
          <w:bCs/>
          <w:color w:val="333333"/>
          <w:szCs w:val="28"/>
          <w:lang w:eastAsia="uk-UA"/>
        </w:rPr>
        <w:t>2. Заходи безпеки під час навантаження (розвантаження) залізничного рухомого складу та виконання інших завдань</w:t>
      </w:r>
    </w:p>
    <w:p w14:paraId="64DCEE7A"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8" w:name="n135"/>
      <w:bookmarkEnd w:id="18"/>
      <w:r w:rsidRPr="00141C10">
        <w:rPr>
          <w:rFonts w:eastAsia="Times New Roman"/>
          <w:color w:val="333333"/>
          <w:szCs w:val="28"/>
          <w:lang w:eastAsia="uk-UA"/>
        </w:rPr>
        <w:t>2.1. Вантажно-розвантажувальне місце повинно бути добре освітлене (з урахуванням світломаскування) і вільне від предметів, що перешкоджають навантаженню (розвантаженню). Перед навантаженням рухомий склад очищається від бруду, снігу і льоду, а взимку за необхідності посипається піском.</w:t>
      </w:r>
    </w:p>
    <w:p w14:paraId="0AB59C95"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9" w:name="n136"/>
      <w:bookmarkEnd w:id="19"/>
      <w:r w:rsidRPr="00141C10">
        <w:rPr>
          <w:rFonts w:eastAsia="Times New Roman"/>
          <w:color w:val="333333"/>
          <w:szCs w:val="28"/>
          <w:lang w:eastAsia="uk-UA"/>
        </w:rPr>
        <w:t>Під час відкривання борту платформи слід стояти так, щоб борт, падаючи, не зачепив особи, що його відкриває.</w:t>
      </w:r>
    </w:p>
    <w:p w14:paraId="7444C6E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0" w:name="n137"/>
      <w:bookmarkEnd w:id="20"/>
      <w:r w:rsidRPr="00141C10">
        <w:rPr>
          <w:rFonts w:eastAsia="Times New Roman"/>
          <w:color w:val="333333"/>
          <w:szCs w:val="28"/>
          <w:lang w:eastAsia="uk-UA"/>
        </w:rPr>
        <w:t>Під час заїзду (з’їзду) самохідної машини на рухомий склад заборонено будь-кому, крім водія, знаходитись у машині.</w:t>
      </w:r>
    </w:p>
    <w:p w14:paraId="0D90B19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1" w:name="n138"/>
      <w:bookmarkEnd w:id="21"/>
      <w:r w:rsidRPr="00141C10">
        <w:rPr>
          <w:rFonts w:eastAsia="Times New Roman"/>
          <w:color w:val="333333"/>
          <w:szCs w:val="28"/>
          <w:lang w:eastAsia="uk-UA"/>
        </w:rPr>
        <w:t>2.2. Керівник навантаження (командир підрозділу, розрахунку, екіпажу, старший машини) повинен знаходитись у такому місці, звідки він може бачити положення коліс або гусениць машини під час руху, і щоб його сигнали було добре видно водію, як правило, на наступній платформі. Уночі для допомоги керівнику навантаження призначається спостерігач, який повинен стежити за положенням коліс або гусениць під час поворотів машин у ході навантаження, а за необхідності сигналізувати керівнику навантаження про зупинку машин. Керівник навантаження повинен стежити, щоб стволи гармат, стріли кранів та інші виступаючі частини озброєння та військової техніки під час поворотів на залізничному рухомому складі не порушували безпеку руху по суміжних коліях.</w:t>
      </w:r>
    </w:p>
    <w:p w14:paraId="02FAB85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2" w:name="n139"/>
      <w:bookmarkEnd w:id="22"/>
      <w:r w:rsidRPr="00141C10">
        <w:rPr>
          <w:rFonts w:eastAsia="Times New Roman"/>
          <w:color w:val="333333"/>
          <w:szCs w:val="28"/>
          <w:lang w:eastAsia="uk-UA"/>
        </w:rPr>
        <w:t>2.3. Водій зобов’язаний:</w:t>
      </w:r>
    </w:p>
    <w:p w14:paraId="677FA9F0"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3" w:name="n140"/>
      <w:bookmarkEnd w:id="23"/>
      <w:r w:rsidRPr="00141C10">
        <w:rPr>
          <w:rFonts w:eastAsia="Times New Roman"/>
          <w:color w:val="333333"/>
          <w:szCs w:val="28"/>
          <w:lang w:eastAsia="uk-UA"/>
        </w:rPr>
        <w:t>заводити двигун, починати рух та виходити з кабіни машини тільки за сигналом керівника навантаження;</w:t>
      </w:r>
    </w:p>
    <w:p w14:paraId="27A75A72"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4" w:name="n141"/>
      <w:bookmarkEnd w:id="24"/>
      <w:r w:rsidRPr="00141C10">
        <w:rPr>
          <w:rFonts w:eastAsia="Times New Roman"/>
          <w:color w:val="333333"/>
          <w:szCs w:val="28"/>
          <w:lang w:eastAsia="uk-UA"/>
        </w:rPr>
        <w:t xml:space="preserve">вибрати правильний напрямок руху (у разі навантаження з бокового </w:t>
      </w:r>
      <w:proofErr w:type="spellStart"/>
      <w:r w:rsidRPr="00141C10">
        <w:rPr>
          <w:rFonts w:eastAsia="Times New Roman"/>
          <w:color w:val="333333"/>
          <w:szCs w:val="28"/>
          <w:lang w:eastAsia="uk-UA"/>
        </w:rPr>
        <w:t>навантажувально</w:t>
      </w:r>
      <w:proofErr w:type="spellEnd"/>
      <w:r w:rsidRPr="00141C10">
        <w:rPr>
          <w:rFonts w:eastAsia="Times New Roman"/>
          <w:color w:val="333333"/>
          <w:szCs w:val="28"/>
          <w:lang w:eastAsia="uk-UA"/>
        </w:rPr>
        <w:t>-розвантажувального пристрою заїзд на рухомий склад здійснюється під кутом близько 30 o до осі колії), щоб запобігти зайвим поворотам під час заїзду;</w:t>
      </w:r>
    </w:p>
    <w:p w14:paraId="5A45945D"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5" w:name="n142"/>
      <w:bookmarkEnd w:id="25"/>
      <w:r w:rsidRPr="00141C10">
        <w:rPr>
          <w:rFonts w:eastAsia="Times New Roman"/>
          <w:color w:val="333333"/>
          <w:szCs w:val="28"/>
          <w:lang w:eastAsia="uk-UA"/>
        </w:rPr>
        <w:t xml:space="preserve">рухатися по </w:t>
      </w:r>
      <w:proofErr w:type="spellStart"/>
      <w:r w:rsidRPr="00141C10">
        <w:rPr>
          <w:rFonts w:eastAsia="Times New Roman"/>
          <w:color w:val="333333"/>
          <w:szCs w:val="28"/>
          <w:lang w:eastAsia="uk-UA"/>
        </w:rPr>
        <w:t>навантажувально</w:t>
      </w:r>
      <w:proofErr w:type="spellEnd"/>
      <w:r w:rsidRPr="00141C10">
        <w:rPr>
          <w:rFonts w:eastAsia="Times New Roman"/>
          <w:color w:val="333333"/>
          <w:szCs w:val="28"/>
          <w:lang w:eastAsia="uk-UA"/>
        </w:rPr>
        <w:t>-розвантажувальному пристрою і залізничних платформах на першій передачі (на автомобілі з двома ведучими мостами - з включеним переднім мостом і демультиплікатором);</w:t>
      </w:r>
    </w:p>
    <w:p w14:paraId="3A59A288"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6" w:name="n143"/>
      <w:bookmarkEnd w:id="26"/>
      <w:r w:rsidRPr="00141C10">
        <w:rPr>
          <w:rFonts w:eastAsia="Times New Roman"/>
          <w:color w:val="333333"/>
          <w:szCs w:val="28"/>
          <w:lang w:eastAsia="uk-UA"/>
        </w:rPr>
        <w:t>рухатися плавно, не здійснюючи різких рухів і поворотів (на збірно-розбірних платформах і апарелях повороти гусеничних машин не допускаються);</w:t>
      </w:r>
    </w:p>
    <w:p w14:paraId="1BBD00B8"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7" w:name="n144"/>
      <w:bookmarkEnd w:id="27"/>
      <w:r w:rsidRPr="00141C10">
        <w:rPr>
          <w:rFonts w:eastAsia="Times New Roman"/>
          <w:color w:val="333333"/>
          <w:szCs w:val="28"/>
          <w:lang w:eastAsia="uk-UA"/>
        </w:rPr>
        <w:t>уважно слідкувати за сигналами керівника навантаження і бути готовим негайно зупинити машину;</w:t>
      </w:r>
    </w:p>
    <w:p w14:paraId="3CD146F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8" w:name="n145"/>
      <w:bookmarkEnd w:id="28"/>
      <w:r w:rsidRPr="00141C10">
        <w:rPr>
          <w:rFonts w:eastAsia="Times New Roman"/>
          <w:color w:val="333333"/>
          <w:szCs w:val="28"/>
          <w:lang w:eastAsia="uk-UA"/>
        </w:rPr>
        <w:lastRenderedPageBreak/>
        <w:t>у момент переходу коліс або гусениць із вантажно-розвантажувального пристрою на залізничну платформу зменшити подачу палива, намагаючись зберегти плавність руху;</w:t>
      </w:r>
    </w:p>
    <w:p w14:paraId="439D684C"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9" w:name="n146"/>
      <w:bookmarkEnd w:id="29"/>
      <w:r w:rsidRPr="00141C10">
        <w:rPr>
          <w:rFonts w:eastAsia="Times New Roman"/>
          <w:color w:val="333333"/>
          <w:szCs w:val="28"/>
          <w:lang w:eastAsia="uk-UA"/>
        </w:rPr>
        <w:t>поворот гусеничної машини на залізничній платформі починати тільки після того, як перший опорний каток внутрішньої гусениці опиниться на підлозі залізничної платформи, не допускаючи при цьому виходу осі першого катка гусениці, що забігає за межі підлоги залізничної платформи;</w:t>
      </w:r>
    </w:p>
    <w:p w14:paraId="08B7064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0" w:name="n147"/>
      <w:bookmarkEnd w:id="30"/>
      <w:r w:rsidRPr="00141C10">
        <w:rPr>
          <w:rFonts w:eastAsia="Times New Roman"/>
          <w:color w:val="333333"/>
          <w:szCs w:val="28"/>
          <w:lang w:eastAsia="uk-UA"/>
        </w:rPr>
        <w:t>для вирівнювання гусеничної машини щодо повздовжньої осі залізничної платформи використовувати рух вздовж рухомого складу або намагатися зробити це за рахунок декількох послідовних поворотів на невеликі кути під час руху (вперед і назад) у межах однієї залізничної платформи.</w:t>
      </w:r>
    </w:p>
    <w:p w14:paraId="70787D0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1" w:name="n148"/>
      <w:bookmarkEnd w:id="31"/>
      <w:r w:rsidRPr="00141C10">
        <w:rPr>
          <w:rFonts w:eastAsia="Times New Roman"/>
          <w:color w:val="333333"/>
          <w:szCs w:val="28"/>
          <w:lang w:eastAsia="uk-UA"/>
        </w:rPr>
        <w:t>2.4. Під час навантаження краном підйом вантажу і рух крана повинні здійснюватися тільки після подачі відповідних сигналів.</w:t>
      </w:r>
    </w:p>
    <w:p w14:paraId="596147F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2" w:name="n149"/>
      <w:bookmarkEnd w:id="32"/>
      <w:r w:rsidRPr="00141C10">
        <w:rPr>
          <w:rFonts w:eastAsia="Times New Roman"/>
          <w:color w:val="333333"/>
          <w:szCs w:val="28"/>
          <w:lang w:eastAsia="uk-UA"/>
        </w:rPr>
        <w:t>2.5. Під час переміщення на станціях слід остерігатися локомотивів і вагонів, які рухаються по коліях. Необхідно бути особливо уважним під час виходу на колію з-за вагонів чи будівель, у разі наближення потягу - відходити на безпечну відстань.</w:t>
      </w:r>
    </w:p>
    <w:p w14:paraId="0412A115"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3" w:name="n150"/>
      <w:bookmarkEnd w:id="33"/>
      <w:r w:rsidRPr="00141C10">
        <w:rPr>
          <w:rFonts w:eastAsia="Times New Roman"/>
          <w:color w:val="333333"/>
          <w:szCs w:val="28"/>
          <w:lang w:eastAsia="uk-UA"/>
        </w:rPr>
        <w:t xml:space="preserve">Обходити поїзд з локомотивом, що стоїть, або групу вагонів потрібно на відстані не менш 3 м. Не можна проходити між </w:t>
      </w:r>
      <w:proofErr w:type="spellStart"/>
      <w:r w:rsidRPr="00141C10">
        <w:rPr>
          <w:rFonts w:eastAsia="Times New Roman"/>
          <w:color w:val="333333"/>
          <w:szCs w:val="28"/>
          <w:lang w:eastAsia="uk-UA"/>
        </w:rPr>
        <w:t>розчепленими</w:t>
      </w:r>
      <w:proofErr w:type="spellEnd"/>
      <w:r w:rsidRPr="00141C10">
        <w:rPr>
          <w:rFonts w:eastAsia="Times New Roman"/>
          <w:color w:val="333333"/>
          <w:szCs w:val="28"/>
          <w:lang w:eastAsia="uk-UA"/>
        </w:rPr>
        <w:t xml:space="preserve"> вагонами, якщо відстань між ними менше 5 м.</w:t>
      </w:r>
    </w:p>
    <w:p w14:paraId="59BA47A4"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4" w:name="n151"/>
      <w:bookmarkEnd w:id="34"/>
      <w:r w:rsidRPr="00141C10">
        <w:rPr>
          <w:rFonts w:eastAsia="Times New Roman"/>
          <w:color w:val="333333"/>
          <w:szCs w:val="28"/>
          <w:lang w:eastAsia="uk-UA"/>
        </w:rPr>
        <w:t>2.6. Особовому складу військового ешелону забороняється:</w:t>
      </w:r>
    </w:p>
    <w:p w14:paraId="5A5B5470"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5" w:name="n152"/>
      <w:bookmarkEnd w:id="35"/>
      <w:r w:rsidRPr="00141C10">
        <w:rPr>
          <w:rFonts w:eastAsia="Times New Roman"/>
          <w:color w:val="333333"/>
          <w:szCs w:val="28"/>
          <w:lang w:eastAsia="uk-UA"/>
        </w:rPr>
        <w:t>прокладати перехідні містки під озброєнням та технікою, що рухаються, і знаходитися між розташованою на платформі машиною та іншою, що наближається до неї, ближче ніж за 5 м;</w:t>
      </w:r>
    </w:p>
    <w:p w14:paraId="7CC3422C"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6" w:name="n153"/>
      <w:bookmarkEnd w:id="36"/>
      <w:r w:rsidRPr="00141C10">
        <w:rPr>
          <w:rFonts w:eastAsia="Times New Roman"/>
          <w:color w:val="333333"/>
          <w:szCs w:val="28"/>
          <w:lang w:eastAsia="uk-UA"/>
        </w:rPr>
        <w:t>знаходитися на відстані менше ніж 3 м від залізничної платформи з протилежного боку бокового вантажно-розвантажувального пристрою, з якого заїжджає машина, а під час навантаження з торцевого вантажно-розвантажувального пристрою і під час руху машин вздовж рухомого складу - поруч із вантажно-розвантажувальним пристроєм і залізничними платформами, по яких рухаються машини;</w:t>
      </w:r>
    </w:p>
    <w:p w14:paraId="69CE8AF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7" w:name="n154"/>
      <w:bookmarkEnd w:id="37"/>
      <w:r w:rsidRPr="00141C10">
        <w:rPr>
          <w:rFonts w:eastAsia="Times New Roman"/>
          <w:color w:val="333333"/>
          <w:szCs w:val="28"/>
          <w:lang w:eastAsia="uk-UA"/>
        </w:rPr>
        <w:t>знаходитися під вантажем та стрілами працюючих кранів;</w:t>
      </w:r>
    </w:p>
    <w:p w14:paraId="33B7199A"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8" w:name="n155"/>
      <w:bookmarkEnd w:id="38"/>
      <w:r w:rsidRPr="00141C10">
        <w:rPr>
          <w:rFonts w:eastAsia="Times New Roman"/>
          <w:color w:val="333333"/>
          <w:szCs w:val="28"/>
          <w:lang w:eastAsia="uk-UA"/>
        </w:rPr>
        <w:t>закріпляти (розкріпляти) озброєння та військову техніку на рухомому складі під час руху поїзда та маневрів;</w:t>
      </w:r>
    </w:p>
    <w:p w14:paraId="125DEEE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9" w:name="n156"/>
      <w:bookmarkEnd w:id="39"/>
      <w:r w:rsidRPr="00141C10">
        <w:rPr>
          <w:rFonts w:eastAsia="Times New Roman"/>
          <w:color w:val="333333"/>
          <w:szCs w:val="28"/>
          <w:lang w:eastAsia="uk-UA"/>
        </w:rPr>
        <w:t>зливати воду із системи охолодження машин взимку на підлогу; перебігати колії перед локомотивами і вагонами, які рухаються;</w:t>
      </w:r>
    </w:p>
    <w:p w14:paraId="38A3ECF7" w14:textId="77777777" w:rsidR="00141C10" w:rsidRDefault="00141C10" w:rsidP="00141C10">
      <w:pPr>
        <w:spacing w:after="150" w:line="240" w:lineRule="auto"/>
        <w:ind w:firstLine="450"/>
        <w:jc w:val="both"/>
        <w:rPr>
          <w:rFonts w:eastAsia="Times New Roman"/>
          <w:color w:val="333333"/>
          <w:szCs w:val="28"/>
          <w:lang w:eastAsia="uk-UA"/>
        </w:rPr>
      </w:pPr>
      <w:bookmarkStart w:id="40" w:name="n157"/>
      <w:bookmarkEnd w:id="40"/>
      <w:r w:rsidRPr="00141C10">
        <w:rPr>
          <w:rFonts w:eastAsia="Times New Roman"/>
          <w:color w:val="333333"/>
          <w:szCs w:val="28"/>
          <w:lang w:eastAsia="uk-UA"/>
        </w:rPr>
        <w:t>підлізати під вагони і перелізати через автозчеплення вагонів; сидіти на колії і на краю вантажно-розвантажувальних і пасажирських платформ.</w:t>
      </w:r>
    </w:p>
    <w:p w14:paraId="180F95C1" w14:textId="77777777" w:rsidR="005F0549" w:rsidRDefault="005F0549" w:rsidP="00141C10">
      <w:pPr>
        <w:spacing w:after="150" w:line="240" w:lineRule="auto"/>
        <w:ind w:firstLine="450"/>
        <w:jc w:val="both"/>
        <w:rPr>
          <w:rFonts w:eastAsia="Times New Roman"/>
          <w:color w:val="333333"/>
          <w:szCs w:val="28"/>
          <w:lang w:eastAsia="uk-UA"/>
        </w:rPr>
      </w:pPr>
    </w:p>
    <w:p w14:paraId="16586422" w14:textId="77777777" w:rsidR="005F0549" w:rsidRPr="005F0549" w:rsidRDefault="005F0549" w:rsidP="005F0549">
      <w:pPr>
        <w:spacing w:after="150" w:line="240" w:lineRule="auto"/>
        <w:ind w:firstLine="450"/>
        <w:jc w:val="both"/>
        <w:rPr>
          <w:rFonts w:eastAsia="Times New Roman"/>
          <w:color w:val="333333"/>
          <w:szCs w:val="28"/>
          <w:lang w:eastAsia="uk-UA"/>
        </w:rPr>
      </w:pPr>
    </w:p>
    <w:p w14:paraId="5806175C" w14:textId="77777777" w:rsidR="005F0549" w:rsidRDefault="005F0549" w:rsidP="005F0549">
      <w:pPr>
        <w:spacing w:after="150" w:line="240" w:lineRule="auto"/>
        <w:ind w:firstLine="450"/>
        <w:jc w:val="both"/>
        <w:rPr>
          <w:rFonts w:eastAsia="Times New Roman"/>
          <w:color w:val="333333"/>
          <w:szCs w:val="28"/>
          <w:lang w:eastAsia="uk-UA"/>
        </w:rPr>
      </w:pPr>
    </w:p>
    <w:p w14:paraId="22387FFE" w14:textId="77777777" w:rsidR="005F0549" w:rsidRPr="005F0549" w:rsidRDefault="005F0549" w:rsidP="005F0549">
      <w:pPr>
        <w:spacing w:after="150" w:line="240" w:lineRule="auto"/>
        <w:ind w:firstLine="450"/>
        <w:jc w:val="center"/>
        <w:rPr>
          <w:rFonts w:eastAsia="Times New Roman"/>
          <w:color w:val="333333"/>
          <w:szCs w:val="28"/>
          <w:lang w:eastAsia="uk-UA"/>
        </w:rPr>
      </w:pPr>
      <w:r w:rsidRPr="005F0549">
        <w:rPr>
          <w:rFonts w:eastAsia="Times New Roman"/>
          <w:color w:val="333333"/>
          <w:szCs w:val="28"/>
          <w:lang w:eastAsia="uk-UA"/>
        </w:rPr>
        <w:lastRenderedPageBreak/>
        <w:t>АРКУШ ІНСТРУКТАЖУ</w:t>
      </w:r>
    </w:p>
    <w:p w14:paraId="67EFA4CE" w14:textId="1A9575AB" w:rsidR="005F0549" w:rsidRPr="005F0549" w:rsidRDefault="005F0549" w:rsidP="005F0549">
      <w:pPr>
        <w:spacing w:after="150" w:line="240" w:lineRule="auto"/>
        <w:ind w:firstLine="450"/>
        <w:jc w:val="center"/>
        <w:rPr>
          <w:rFonts w:eastAsia="Times New Roman"/>
          <w:color w:val="333333"/>
          <w:szCs w:val="28"/>
          <w:lang w:eastAsia="uk-UA"/>
        </w:rPr>
      </w:pPr>
      <w:r w:rsidRPr="005F0549">
        <w:rPr>
          <w:rFonts w:eastAsia="Times New Roman"/>
          <w:color w:val="333333"/>
          <w:sz w:val="32"/>
          <w:szCs w:val="32"/>
          <w:lang w:eastAsia="uk-UA"/>
        </w:rPr>
        <w:t>заходів безпеки та поведінки особового складу військового ешелону</w:t>
      </w:r>
    </w:p>
    <w:tbl>
      <w:tblPr>
        <w:tblStyle w:val="ae"/>
        <w:tblW w:w="0" w:type="auto"/>
        <w:jc w:val="center"/>
        <w:tblLook w:val="04A0" w:firstRow="1" w:lastRow="0" w:firstColumn="1" w:lastColumn="0" w:noHBand="0" w:noVBand="1"/>
      </w:tblPr>
      <w:tblGrid>
        <w:gridCol w:w="562"/>
        <w:gridCol w:w="2268"/>
        <w:gridCol w:w="3402"/>
        <w:gridCol w:w="2552"/>
        <w:gridCol w:w="845"/>
      </w:tblGrid>
      <w:tr w:rsidR="005F0549" w14:paraId="4397D5AF" w14:textId="77777777" w:rsidTr="005F0549">
        <w:trPr>
          <w:jc w:val="center"/>
        </w:trPr>
        <w:tc>
          <w:tcPr>
            <w:tcW w:w="562" w:type="dxa"/>
          </w:tcPr>
          <w:p w14:paraId="6AB10791" w14:textId="16E7D2A6" w:rsidR="005F0549" w:rsidRDefault="005F0549" w:rsidP="005F0549">
            <w:pPr>
              <w:spacing w:after="150"/>
              <w:jc w:val="both"/>
              <w:rPr>
                <w:rFonts w:eastAsia="Times New Roman"/>
                <w:color w:val="333333"/>
                <w:szCs w:val="28"/>
                <w:lang w:eastAsia="uk-UA"/>
              </w:rPr>
            </w:pPr>
            <w:r>
              <w:rPr>
                <w:rFonts w:eastAsia="Times New Roman"/>
                <w:color w:val="333333"/>
                <w:szCs w:val="28"/>
                <w:lang w:eastAsia="uk-UA"/>
              </w:rPr>
              <w:t>№ з/п</w:t>
            </w:r>
          </w:p>
        </w:tc>
        <w:tc>
          <w:tcPr>
            <w:tcW w:w="2268" w:type="dxa"/>
          </w:tcPr>
          <w:p w14:paraId="0B4A12A9" w14:textId="77777777" w:rsidR="005F0549" w:rsidRDefault="005F0549" w:rsidP="005F0549">
            <w:pPr>
              <w:spacing w:after="150"/>
              <w:jc w:val="both"/>
              <w:rPr>
                <w:rFonts w:eastAsia="Times New Roman"/>
                <w:color w:val="333333"/>
                <w:szCs w:val="28"/>
                <w:lang w:eastAsia="uk-UA"/>
              </w:rPr>
            </w:pPr>
          </w:p>
          <w:p w14:paraId="247C3BFD" w14:textId="080D8F96" w:rsidR="005F0549" w:rsidRDefault="005F0549" w:rsidP="005F0549">
            <w:pPr>
              <w:spacing w:after="150"/>
              <w:jc w:val="both"/>
              <w:rPr>
                <w:rFonts w:eastAsia="Times New Roman"/>
                <w:color w:val="333333"/>
                <w:szCs w:val="28"/>
                <w:lang w:eastAsia="uk-UA"/>
              </w:rPr>
            </w:pPr>
            <w:r w:rsidRPr="005F0549">
              <w:rPr>
                <w:rFonts w:eastAsia="Times New Roman"/>
                <w:color w:val="333333"/>
                <w:szCs w:val="28"/>
                <w:lang w:eastAsia="uk-UA"/>
              </w:rPr>
              <w:t>Військове звання</w:t>
            </w:r>
          </w:p>
        </w:tc>
        <w:tc>
          <w:tcPr>
            <w:tcW w:w="3402" w:type="dxa"/>
          </w:tcPr>
          <w:p w14:paraId="1997C2A1" w14:textId="77777777" w:rsidR="005F0549" w:rsidRDefault="005F0549" w:rsidP="005F0549">
            <w:pPr>
              <w:spacing w:after="150"/>
              <w:jc w:val="center"/>
              <w:rPr>
                <w:rFonts w:eastAsia="Times New Roman"/>
                <w:color w:val="333333"/>
                <w:szCs w:val="28"/>
                <w:lang w:eastAsia="uk-UA"/>
              </w:rPr>
            </w:pPr>
          </w:p>
          <w:p w14:paraId="4D162B7B" w14:textId="33BA9FF8" w:rsidR="005F0549" w:rsidRDefault="005F0549" w:rsidP="005F0549">
            <w:pPr>
              <w:spacing w:after="150"/>
              <w:jc w:val="center"/>
              <w:rPr>
                <w:rFonts w:eastAsia="Times New Roman"/>
                <w:color w:val="333333"/>
                <w:szCs w:val="28"/>
                <w:lang w:eastAsia="uk-UA"/>
              </w:rPr>
            </w:pPr>
            <w:r w:rsidRPr="005F0549">
              <w:rPr>
                <w:rFonts w:eastAsia="Times New Roman"/>
                <w:color w:val="333333"/>
                <w:szCs w:val="28"/>
                <w:lang w:eastAsia="uk-UA"/>
              </w:rPr>
              <w:t>Прізвище та ініціали</w:t>
            </w:r>
          </w:p>
        </w:tc>
        <w:tc>
          <w:tcPr>
            <w:tcW w:w="2552" w:type="dxa"/>
          </w:tcPr>
          <w:p w14:paraId="668EEDF7" w14:textId="23BD5CC9" w:rsidR="005F0549" w:rsidRDefault="005F0549" w:rsidP="005F0549">
            <w:pPr>
              <w:spacing w:after="150"/>
              <w:jc w:val="center"/>
              <w:rPr>
                <w:rFonts w:eastAsia="Times New Roman"/>
                <w:color w:val="333333"/>
                <w:szCs w:val="28"/>
                <w:lang w:eastAsia="uk-UA"/>
              </w:rPr>
            </w:pPr>
            <w:r w:rsidRPr="005F0549">
              <w:rPr>
                <w:rFonts w:eastAsia="Times New Roman"/>
                <w:color w:val="333333"/>
                <w:szCs w:val="28"/>
                <w:lang w:eastAsia="uk-UA"/>
              </w:rPr>
              <w:t>Підпис про ознайомлення та інструктаж:</w:t>
            </w:r>
          </w:p>
        </w:tc>
        <w:tc>
          <w:tcPr>
            <w:tcW w:w="845" w:type="dxa"/>
          </w:tcPr>
          <w:p w14:paraId="4E5E68D0" w14:textId="77777777" w:rsidR="005F0549" w:rsidRDefault="005F0549" w:rsidP="005F0549">
            <w:pPr>
              <w:spacing w:after="150"/>
              <w:jc w:val="both"/>
              <w:rPr>
                <w:rFonts w:eastAsia="Times New Roman"/>
                <w:color w:val="333333"/>
                <w:szCs w:val="28"/>
                <w:lang w:eastAsia="uk-UA"/>
              </w:rPr>
            </w:pPr>
          </w:p>
          <w:p w14:paraId="144C063C" w14:textId="6E1247EE" w:rsidR="005F0549" w:rsidRDefault="005F0549" w:rsidP="005F0549">
            <w:pPr>
              <w:spacing w:after="150"/>
              <w:jc w:val="both"/>
              <w:rPr>
                <w:rFonts w:eastAsia="Times New Roman"/>
                <w:color w:val="333333"/>
                <w:szCs w:val="28"/>
                <w:lang w:eastAsia="uk-UA"/>
              </w:rPr>
            </w:pPr>
            <w:r w:rsidRPr="005F0549">
              <w:rPr>
                <w:rFonts w:eastAsia="Times New Roman"/>
                <w:color w:val="333333"/>
                <w:szCs w:val="28"/>
                <w:lang w:eastAsia="uk-UA"/>
              </w:rPr>
              <w:t>Дата</w:t>
            </w:r>
          </w:p>
        </w:tc>
      </w:tr>
      <w:tr w:rsidR="005F0549" w14:paraId="6811822E" w14:textId="77777777" w:rsidTr="005F0549">
        <w:trPr>
          <w:jc w:val="center"/>
        </w:trPr>
        <w:tc>
          <w:tcPr>
            <w:tcW w:w="562" w:type="dxa"/>
          </w:tcPr>
          <w:p w14:paraId="32ED62A8" w14:textId="77777777" w:rsidR="005F0549" w:rsidRDefault="005F0549" w:rsidP="005F0549">
            <w:pPr>
              <w:spacing w:after="150"/>
              <w:jc w:val="both"/>
              <w:rPr>
                <w:rFonts w:eastAsia="Times New Roman"/>
                <w:color w:val="333333"/>
                <w:szCs w:val="28"/>
                <w:lang w:eastAsia="uk-UA"/>
              </w:rPr>
            </w:pPr>
          </w:p>
        </w:tc>
        <w:tc>
          <w:tcPr>
            <w:tcW w:w="2268" w:type="dxa"/>
          </w:tcPr>
          <w:p w14:paraId="57EE96D4" w14:textId="77777777" w:rsidR="005F0549" w:rsidRDefault="005F0549" w:rsidP="005F0549">
            <w:pPr>
              <w:spacing w:after="150"/>
              <w:jc w:val="both"/>
              <w:rPr>
                <w:rFonts w:eastAsia="Times New Roman"/>
                <w:color w:val="333333"/>
                <w:szCs w:val="28"/>
                <w:lang w:eastAsia="uk-UA"/>
              </w:rPr>
            </w:pPr>
          </w:p>
        </w:tc>
        <w:tc>
          <w:tcPr>
            <w:tcW w:w="3402" w:type="dxa"/>
          </w:tcPr>
          <w:p w14:paraId="771D2E03" w14:textId="77777777" w:rsidR="005F0549" w:rsidRDefault="005F0549" w:rsidP="005F0549">
            <w:pPr>
              <w:spacing w:after="150"/>
              <w:jc w:val="both"/>
              <w:rPr>
                <w:rFonts w:eastAsia="Times New Roman"/>
                <w:color w:val="333333"/>
                <w:szCs w:val="28"/>
                <w:lang w:eastAsia="uk-UA"/>
              </w:rPr>
            </w:pPr>
          </w:p>
        </w:tc>
        <w:tc>
          <w:tcPr>
            <w:tcW w:w="2552" w:type="dxa"/>
          </w:tcPr>
          <w:p w14:paraId="357B119E" w14:textId="77777777" w:rsidR="005F0549" w:rsidRDefault="005F0549" w:rsidP="005F0549">
            <w:pPr>
              <w:spacing w:after="150"/>
              <w:jc w:val="both"/>
              <w:rPr>
                <w:rFonts w:eastAsia="Times New Roman"/>
                <w:color w:val="333333"/>
                <w:szCs w:val="28"/>
                <w:lang w:eastAsia="uk-UA"/>
              </w:rPr>
            </w:pPr>
          </w:p>
        </w:tc>
        <w:tc>
          <w:tcPr>
            <w:tcW w:w="845" w:type="dxa"/>
          </w:tcPr>
          <w:p w14:paraId="4D5F9CDC" w14:textId="77777777" w:rsidR="005F0549" w:rsidRDefault="005F0549" w:rsidP="005F0549">
            <w:pPr>
              <w:spacing w:after="150"/>
              <w:jc w:val="both"/>
              <w:rPr>
                <w:rFonts w:eastAsia="Times New Roman"/>
                <w:color w:val="333333"/>
                <w:szCs w:val="28"/>
                <w:lang w:eastAsia="uk-UA"/>
              </w:rPr>
            </w:pPr>
          </w:p>
        </w:tc>
      </w:tr>
      <w:tr w:rsidR="005F0549" w14:paraId="5B5ACD35" w14:textId="77777777" w:rsidTr="005F0549">
        <w:trPr>
          <w:jc w:val="center"/>
        </w:trPr>
        <w:tc>
          <w:tcPr>
            <w:tcW w:w="562" w:type="dxa"/>
          </w:tcPr>
          <w:p w14:paraId="02BC0BE3" w14:textId="77777777" w:rsidR="005F0549" w:rsidRDefault="005F0549" w:rsidP="005F0549">
            <w:pPr>
              <w:spacing w:after="150"/>
              <w:jc w:val="both"/>
              <w:rPr>
                <w:rFonts w:eastAsia="Times New Roman"/>
                <w:color w:val="333333"/>
                <w:szCs w:val="28"/>
                <w:lang w:eastAsia="uk-UA"/>
              </w:rPr>
            </w:pPr>
          </w:p>
        </w:tc>
        <w:tc>
          <w:tcPr>
            <w:tcW w:w="2268" w:type="dxa"/>
          </w:tcPr>
          <w:p w14:paraId="0320A988" w14:textId="77777777" w:rsidR="005F0549" w:rsidRDefault="005F0549" w:rsidP="005F0549">
            <w:pPr>
              <w:spacing w:after="150"/>
              <w:jc w:val="both"/>
              <w:rPr>
                <w:rFonts w:eastAsia="Times New Roman"/>
                <w:color w:val="333333"/>
                <w:szCs w:val="28"/>
                <w:lang w:eastAsia="uk-UA"/>
              </w:rPr>
            </w:pPr>
          </w:p>
        </w:tc>
        <w:tc>
          <w:tcPr>
            <w:tcW w:w="3402" w:type="dxa"/>
          </w:tcPr>
          <w:p w14:paraId="17148461" w14:textId="77777777" w:rsidR="005F0549" w:rsidRDefault="005F0549" w:rsidP="005F0549">
            <w:pPr>
              <w:spacing w:after="150"/>
              <w:jc w:val="both"/>
              <w:rPr>
                <w:rFonts w:eastAsia="Times New Roman"/>
                <w:color w:val="333333"/>
                <w:szCs w:val="28"/>
                <w:lang w:eastAsia="uk-UA"/>
              </w:rPr>
            </w:pPr>
          </w:p>
        </w:tc>
        <w:tc>
          <w:tcPr>
            <w:tcW w:w="2552" w:type="dxa"/>
          </w:tcPr>
          <w:p w14:paraId="092729AB" w14:textId="77777777" w:rsidR="005F0549" w:rsidRDefault="005F0549" w:rsidP="005F0549">
            <w:pPr>
              <w:spacing w:after="150"/>
              <w:jc w:val="both"/>
              <w:rPr>
                <w:rFonts w:eastAsia="Times New Roman"/>
                <w:color w:val="333333"/>
                <w:szCs w:val="28"/>
                <w:lang w:eastAsia="uk-UA"/>
              </w:rPr>
            </w:pPr>
          </w:p>
        </w:tc>
        <w:tc>
          <w:tcPr>
            <w:tcW w:w="845" w:type="dxa"/>
          </w:tcPr>
          <w:p w14:paraId="3E764C52" w14:textId="77777777" w:rsidR="005F0549" w:rsidRDefault="005F0549" w:rsidP="005F0549">
            <w:pPr>
              <w:spacing w:after="150"/>
              <w:jc w:val="both"/>
              <w:rPr>
                <w:rFonts w:eastAsia="Times New Roman"/>
                <w:color w:val="333333"/>
                <w:szCs w:val="28"/>
                <w:lang w:eastAsia="uk-UA"/>
              </w:rPr>
            </w:pPr>
          </w:p>
        </w:tc>
      </w:tr>
      <w:tr w:rsidR="005F0549" w14:paraId="005F0A3E" w14:textId="77777777" w:rsidTr="005F0549">
        <w:trPr>
          <w:jc w:val="center"/>
        </w:trPr>
        <w:tc>
          <w:tcPr>
            <w:tcW w:w="562" w:type="dxa"/>
          </w:tcPr>
          <w:p w14:paraId="457F55B3" w14:textId="77777777" w:rsidR="005F0549" w:rsidRDefault="005F0549" w:rsidP="005F0549">
            <w:pPr>
              <w:spacing w:after="150"/>
              <w:jc w:val="both"/>
              <w:rPr>
                <w:rFonts w:eastAsia="Times New Roman"/>
                <w:color w:val="333333"/>
                <w:szCs w:val="28"/>
                <w:lang w:eastAsia="uk-UA"/>
              </w:rPr>
            </w:pPr>
          </w:p>
        </w:tc>
        <w:tc>
          <w:tcPr>
            <w:tcW w:w="2268" w:type="dxa"/>
          </w:tcPr>
          <w:p w14:paraId="4107A000" w14:textId="77777777" w:rsidR="005F0549" w:rsidRDefault="005F0549" w:rsidP="005F0549">
            <w:pPr>
              <w:spacing w:after="150"/>
              <w:jc w:val="both"/>
              <w:rPr>
                <w:rFonts w:eastAsia="Times New Roman"/>
                <w:color w:val="333333"/>
                <w:szCs w:val="28"/>
                <w:lang w:eastAsia="uk-UA"/>
              </w:rPr>
            </w:pPr>
          </w:p>
        </w:tc>
        <w:tc>
          <w:tcPr>
            <w:tcW w:w="3402" w:type="dxa"/>
          </w:tcPr>
          <w:p w14:paraId="5C91F006" w14:textId="77777777" w:rsidR="005F0549" w:rsidRDefault="005F0549" w:rsidP="005F0549">
            <w:pPr>
              <w:spacing w:after="150"/>
              <w:jc w:val="both"/>
              <w:rPr>
                <w:rFonts w:eastAsia="Times New Roman"/>
                <w:color w:val="333333"/>
                <w:szCs w:val="28"/>
                <w:lang w:eastAsia="uk-UA"/>
              </w:rPr>
            </w:pPr>
          </w:p>
        </w:tc>
        <w:tc>
          <w:tcPr>
            <w:tcW w:w="2552" w:type="dxa"/>
          </w:tcPr>
          <w:p w14:paraId="65B1EFB8" w14:textId="77777777" w:rsidR="005F0549" w:rsidRDefault="005F0549" w:rsidP="005F0549">
            <w:pPr>
              <w:spacing w:after="150"/>
              <w:jc w:val="both"/>
              <w:rPr>
                <w:rFonts w:eastAsia="Times New Roman"/>
                <w:color w:val="333333"/>
                <w:szCs w:val="28"/>
                <w:lang w:eastAsia="uk-UA"/>
              </w:rPr>
            </w:pPr>
          </w:p>
        </w:tc>
        <w:tc>
          <w:tcPr>
            <w:tcW w:w="845" w:type="dxa"/>
          </w:tcPr>
          <w:p w14:paraId="76464201" w14:textId="77777777" w:rsidR="005F0549" w:rsidRDefault="005F0549" w:rsidP="005F0549">
            <w:pPr>
              <w:spacing w:after="150"/>
              <w:jc w:val="both"/>
              <w:rPr>
                <w:rFonts w:eastAsia="Times New Roman"/>
                <w:color w:val="333333"/>
                <w:szCs w:val="28"/>
                <w:lang w:eastAsia="uk-UA"/>
              </w:rPr>
            </w:pPr>
          </w:p>
        </w:tc>
      </w:tr>
      <w:tr w:rsidR="005F0549" w14:paraId="7262C24A" w14:textId="77777777" w:rsidTr="005F0549">
        <w:trPr>
          <w:jc w:val="center"/>
        </w:trPr>
        <w:tc>
          <w:tcPr>
            <w:tcW w:w="562" w:type="dxa"/>
          </w:tcPr>
          <w:p w14:paraId="591892F6" w14:textId="77777777" w:rsidR="005F0549" w:rsidRDefault="005F0549" w:rsidP="005F0549">
            <w:pPr>
              <w:spacing w:after="150"/>
              <w:jc w:val="both"/>
              <w:rPr>
                <w:rFonts w:eastAsia="Times New Roman"/>
                <w:color w:val="333333"/>
                <w:szCs w:val="28"/>
                <w:lang w:eastAsia="uk-UA"/>
              </w:rPr>
            </w:pPr>
          </w:p>
        </w:tc>
        <w:tc>
          <w:tcPr>
            <w:tcW w:w="2268" w:type="dxa"/>
          </w:tcPr>
          <w:p w14:paraId="1ECAC82E" w14:textId="77777777" w:rsidR="005F0549" w:rsidRDefault="005F0549" w:rsidP="005F0549">
            <w:pPr>
              <w:spacing w:after="150"/>
              <w:jc w:val="both"/>
              <w:rPr>
                <w:rFonts w:eastAsia="Times New Roman"/>
                <w:color w:val="333333"/>
                <w:szCs w:val="28"/>
                <w:lang w:eastAsia="uk-UA"/>
              </w:rPr>
            </w:pPr>
          </w:p>
        </w:tc>
        <w:tc>
          <w:tcPr>
            <w:tcW w:w="3402" w:type="dxa"/>
          </w:tcPr>
          <w:p w14:paraId="646E4248" w14:textId="77777777" w:rsidR="005F0549" w:rsidRDefault="005F0549" w:rsidP="005F0549">
            <w:pPr>
              <w:spacing w:after="150"/>
              <w:jc w:val="both"/>
              <w:rPr>
                <w:rFonts w:eastAsia="Times New Roman"/>
                <w:color w:val="333333"/>
                <w:szCs w:val="28"/>
                <w:lang w:eastAsia="uk-UA"/>
              </w:rPr>
            </w:pPr>
          </w:p>
        </w:tc>
        <w:tc>
          <w:tcPr>
            <w:tcW w:w="2552" w:type="dxa"/>
          </w:tcPr>
          <w:p w14:paraId="74F1BF7C" w14:textId="77777777" w:rsidR="005F0549" w:rsidRDefault="005F0549" w:rsidP="005F0549">
            <w:pPr>
              <w:spacing w:after="150"/>
              <w:jc w:val="both"/>
              <w:rPr>
                <w:rFonts w:eastAsia="Times New Roman"/>
                <w:color w:val="333333"/>
                <w:szCs w:val="28"/>
                <w:lang w:eastAsia="uk-UA"/>
              </w:rPr>
            </w:pPr>
          </w:p>
        </w:tc>
        <w:tc>
          <w:tcPr>
            <w:tcW w:w="845" w:type="dxa"/>
          </w:tcPr>
          <w:p w14:paraId="794BF77F" w14:textId="77777777" w:rsidR="005F0549" w:rsidRDefault="005F0549" w:rsidP="005F0549">
            <w:pPr>
              <w:spacing w:after="150"/>
              <w:jc w:val="both"/>
              <w:rPr>
                <w:rFonts w:eastAsia="Times New Roman"/>
                <w:color w:val="333333"/>
                <w:szCs w:val="28"/>
                <w:lang w:eastAsia="uk-UA"/>
              </w:rPr>
            </w:pPr>
          </w:p>
        </w:tc>
      </w:tr>
    </w:tbl>
    <w:p w14:paraId="7CBB084C" w14:textId="77777777" w:rsidR="005F0549" w:rsidRPr="005F0549" w:rsidRDefault="005F0549" w:rsidP="005F0549">
      <w:pPr>
        <w:spacing w:after="150" w:line="240" w:lineRule="auto"/>
        <w:ind w:firstLine="450"/>
        <w:jc w:val="both"/>
        <w:rPr>
          <w:rFonts w:eastAsia="Times New Roman"/>
          <w:color w:val="333333"/>
          <w:szCs w:val="28"/>
          <w:lang w:eastAsia="uk-UA"/>
        </w:rPr>
      </w:pPr>
    </w:p>
    <w:p w14:paraId="2E3A50AF" w14:textId="77777777" w:rsidR="005F0549" w:rsidRPr="005F0549" w:rsidRDefault="005F0549" w:rsidP="005F0549">
      <w:pPr>
        <w:spacing w:after="150" w:line="240" w:lineRule="auto"/>
        <w:ind w:firstLine="450"/>
        <w:jc w:val="both"/>
        <w:rPr>
          <w:rFonts w:eastAsia="Times New Roman"/>
          <w:color w:val="333333"/>
          <w:szCs w:val="28"/>
          <w:lang w:eastAsia="uk-UA"/>
        </w:rPr>
      </w:pPr>
      <w:r w:rsidRPr="005F0549">
        <w:rPr>
          <w:rFonts w:eastAsia="Times New Roman"/>
          <w:color w:val="333333"/>
          <w:szCs w:val="28"/>
          <w:lang w:eastAsia="uk-UA"/>
        </w:rPr>
        <w:t>Заступник командира 1 штурмового батальйону з озброєння військової частини А0000</w:t>
      </w:r>
    </w:p>
    <w:p w14:paraId="0E3613D5" w14:textId="77777777" w:rsidR="005F0549" w:rsidRPr="005F0549" w:rsidRDefault="005F0549" w:rsidP="005F0549">
      <w:pPr>
        <w:spacing w:after="150" w:line="240" w:lineRule="auto"/>
        <w:ind w:firstLine="450"/>
        <w:jc w:val="both"/>
        <w:rPr>
          <w:rFonts w:eastAsia="Times New Roman"/>
          <w:color w:val="333333"/>
          <w:szCs w:val="28"/>
          <w:lang w:eastAsia="uk-UA"/>
        </w:rPr>
      </w:pPr>
      <w:r w:rsidRPr="005F0549">
        <w:rPr>
          <w:rFonts w:eastAsia="Times New Roman"/>
          <w:color w:val="333333"/>
          <w:szCs w:val="28"/>
          <w:lang w:eastAsia="uk-UA"/>
        </w:rPr>
        <w:t xml:space="preserve">звання </w:t>
      </w:r>
      <w:r w:rsidRPr="005F0549">
        <w:rPr>
          <w:rFonts w:eastAsia="Times New Roman"/>
          <w:color w:val="333333"/>
          <w:szCs w:val="28"/>
          <w:lang w:eastAsia="uk-UA"/>
        </w:rPr>
        <w:tab/>
      </w:r>
      <w:r w:rsidRPr="005F0549">
        <w:rPr>
          <w:rFonts w:eastAsia="Times New Roman"/>
          <w:color w:val="333333"/>
          <w:szCs w:val="28"/>
          <w:lang w:eastAsia="uk-UA"/>
        </w:rPr>
        <w:tab/>
      </w:r>
      <w:r w:rsidRPr="005F0549">
        <w:rPr>
          <w:rFonts w:eastAsia="Times New Roman"/>
          <w:color w:val="333333"/>
          <w:szCs w:val="28"/>
          <w:lang w:eastAsia="uk-UA"/>
        </w:rPr>
        <w:tab/>
      </w:r>
      <w:r w:rsidRPr="005F0549">
        <w:rPr>
          <w:rFonts w:eastAsia="Times New Roman"/>
          <w:color w:val="333333"/>
          <w:szCs w:val="28"/>
          <w:lang w:eastAsia="uk-UA"/>
        </w:rPr>
        <w:tab/>
      </w:r>
      <w:r w:rsidRPr="005F0549">
        <w:rPr>
          <w:rFonts w:eastAsia="Times New Roman"/>
          <w:color w:val="333333"/>
          <w:szCs w:val="28"/>
          <w:lang w:eastAsia="uk-UA"/>
        </w:rPr>
        <w:tab/>
      </w:r>
      <w:r w:rsidRPr="005F0549">
        <w:rPr>
          <w:rFonts w:eastAsia="Times New Roman"/>
          <w:color w:val="333333"/>
          <w:szCs w:val="28"/>
          <w:lang w:eastAsia="uk-UA"/>
        </w:rPr>
        <w:tab/>
      </w:r>
      <w:r w:rsidRPr="005F0549">
        <w:rPr>
          <w:rFonts w:eastAsia="Times New Roman"/>
          <w:color w:val="333333"/>
          <w:szCs w:val="28"/>
          <w:lang w:eastAsia="uk-UA"/>
        </w:rPr>
        <w:tab/>
      </w:r>
      <w:r w:rsidRPr="005F0549">
        <w:rPr>
          <w:rFonts w:eastAsia="Times New Roman"/>
          <w:color w:val="333333"/>
          <w:szCs w:val="28"/>
          <w:lang w:eastAsia="uk-UA"/>
        </w:rPr>
        <w:tab/>
        <w:t xml:space="preserve">                  Ім'я ПРІЗВИЩЕ</w:t>
      </w:r>
    </w:p>
    <w:p w14:paraId="634FC176" w14:textId="77777777" w:rsidR="005F0549" w:rsidRPr="00141C10" w:rsidRDefault="005F0549" w:rsidP="00141C10">
      <w:pPr>
        <w:spacing w:after="150" w:line="240" w:lineRule="auto"/>
        <w:ind w:firstLine="450"/>
        <w:jc w:val="both"/>
        <w:rPr>
          <w:rFonts w:eastAsia="Times New Roman"/>
          <w:color w:val="333333"/>
          <w:szCs w:val="28"/>
          <w:lang w:eastAsia="uk-UA"/>
        </w:rPr>
      </w:pPr>
    </w:p>
    <w:p w14:paraId="57CC5AA0" w14:textId="77777777" w:rsidR="00141C10" w:rsidRPr="00141C10" w:rsidRDefault="00141C10" w:rsidP="00141C10">
      <w:pPr>
        <w:spacing w:after="150" w:line="240" w:lineRule="auto"/>
        <w:ind w:firstLine="450"/>
        <w:jc w:val="both"/>
        <w:rPr>
          <w:rFonts w:eastAsia="Times New Roman"/>
          <w:color w:val="333333"/>
          <w:szCs w:val="28"/>
          <w:lang w:eastAsia="uk-UA"/>
        </w:rPr>
      </w:pPr>
    </w:p>
    <w:p w14:paraId="4F8311ED" w14:textId="77777777" w:rsidR="006842E0" w:rsidRDefault="006842E0"/>
    <w:sectPr w:rsidR="006842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10"/>
    <w:rsid w:val="00141C10"/>
    <w:rsid w:val="001B5D53"/>
    <w:rsid w:val="005F0549"/>
    <w:rsid w:val="006842E0"/>
    <w:rsid w:val="006A71F5"/>
    <w:rsid w:val="007C1753"/>
    <w:rsid w:val="008528A7"/>
    <w:rsid w:val="00883936"/>
    <w:rsid w:val="00924DFA"/>
    <w:rsid w:val="00977460"/>
    <w:rsid w:val="009F3D2E"/>
    <w:rsid w:val="00B747A6"/>
    <w:rsid w:val="00B75575"/>
    <w:rsid w:val="00E0018F"/>
    <w:rsid w:val="00EB33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21B"/>
  <w15:chartTrackingRefBased/>
  <w15:docId w15:val="{34984612-E017-40B6-A250-2263D83A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C10"/>
    <w:rPr>
      <w:rFonts w:ascii="Times New Roman" w:hAnsi="Times New Roman" w:cs="Times New Roman"/>
      <w:kern w:val="0"/>
      <w:sz w:val="28"/>
      <w:szCs w:val="12"/>
      <w14:ligatures w14:val="none"/>
    </w:rPr>
  </w:style>
  <w:style w:type="paragraph" w:styleId="1">
    <w:name w:val="heading 1"/>
    <w:basedOn w:val="a"/>
    <w:next w:val="a"/>
    <w:link w:val="10"/>
    <w:uiPriority w:val="9"/>
    <w:qFormat/>
    <w:rsid w:val="00141C1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41C1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41C10"/>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4">
    <w:name w:val="heading 4"/>
    <w:basedOn w:val="a"/>
    <w:next w:val="a"/>
    <w:link w:val="40"/>
    <w:uiPriority w:val="9"/>
    <w:semiHidden/>
    <w:unhideWhenUsed/>
    <w:qFormat/>
    <w:rsid w:val="00141C10"/>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141C10"/>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141C10"/>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141C10"/>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141C10"/>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141C10"/>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C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1C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1C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1C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1C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1C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1C10"/>
    <w:rPr>
      <w:rFonts w:eastAsiaTheme="majorEastAsia" w:cstheme="majorBidi"/>
      <w:color w:val="595959" w:themeColor="text1" w:themeTint="A6"/>
    </w:rPr>
  </w:style>
  <w:style w:type="character" w:customStyle="1" w:styleId="80">
    <w:name w:val="Заголовок 8 Знак"/>
    <w:basedOn w:val="a0"/>
    <w:link w:val="8"/>
    <w:uiPriority w:val="9"/>
    <w:semiHidden/>
    <w:rsid w:val="00141C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1C10"/>
    <w:rPr>
      <w:rFonts w:eastAsiaTheme="majorEastAsia" w:cstheme="majorBidi"/>
      <w:color w:val="272727" w:themeColor="text1" w:themeTint="D8"/>
    </w:rPr>
  </w:style>
  <w:style w:type="paragraph" w:styleId="a3">
    <w:name w:val="Title"/>
    <w:basedOn w:val="a"/>
    <w:next w:val="a"/>
    <w:link w:val="a4"/>
    <w:uiPriority w:val="10"/>
    <w:qFormat/>
    <w:rsid w:val="00141C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141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C10"/>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6">
    <w:name w:val="Підзаголовок Знак"/>
    <w:basedOn w:val="a0"/>
    <w:link w:val="a5"/>
    <w:uiPriority w:val="11"/>
    <w:rsid w:val="00141C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1C10"/>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a8">
    <w:name w:val="Цитата Знак"/>
    <w:basedOn w:val="a0"/>
    <w:link w:val="a7"/>
    <w:uiPriority w:val="29"/>
    <w:rsid w:val="00141C10"/>
    <w:rPr>
      <w:i/>
      <w:iCs/>
      <w:color w:val="404040" w:themeColor="text1" w:themeTint="BF"/>
    </w:rPr>
  </w:style>
  <w:style w:type="paragraph" w:styleId="a9">
    <w:name w:val="List Paragraph"/>
    <w:basedOn w:val="a"/>
    <w:uiPriority w:val="34"/>
    <w:qFormat/>
    <w:rsid w:val="00141C10"/>
    <w:pPr>
      <w:ind w:left="720"/>
      <w:contextualSpacing/>
    </w:pPr>
    <w:rPr>
      <w:rFonts w:asciiTheme="minorHAnsi" w:hAnsiTheme="minorHAnsi" w:cstheme="minorBidi"/>
      <w:kern w:val="2"/>
      <w:sz w:val="22"/>
      <w:szCs w:val="22"/>
      <w14:ligatures w14:val="standardContextual"/>
    </w:rPr>
  </w:style>
  <w:style w:type="character" w:styleId="aa">
    <w:name w:val="Intense Emphasis"/>
    <w:basedOn w:val="a0"/>
    <w:uiPriority w:val="21"/>
    <w:qFormat/>
    <w:rsid w:val="00141C10"/>
    <w:rPr>
      <w:i/>
      <w:iCs/>
      <w:color w:val="2F5496" w:themeColor="accent1" w:themeShade="BF"/>
    </w:rPr>
  </w:style>
  <w:style w:type="paragraph" w:styleId="ab">
    <w:name w:val="Intense Quote"/>
    <w:basedOn w:val="a"/>
    <w:next w:val="a"/>
    <w:link w:val="ac"/>
    <w:uiPriority w:val="30"/>
    <w:qFormat/>
    <w:rsid w:val="00141C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ac">
    <w:name w:val="Насичена цитата Знак"/>
    <w:basedOn w:val="a0"/>
    <w:link w:val="ab"/>
    <w:uiPriority w:val="30"/>
    <w:rsid w:val="00141C10"/>
    <w:rPr>
      <w:i/>
      <w:iCs/>
      <w:color w:val="2F5496" w:themeColor="accent1" w:themeShade="BF"/>
    </w:rPr>
  </w:style>
  <w:style w:type="character" w:styleId="ad">
    <w:name w:val="Intense Reference"/>
    <w:basedOn w:val="a0"/>
    <w:uiPriority w:val="32"/>
    <w:qFormat/>
    <w:rsid w:val="00141C10"/>
    <w:rPr>
      <w:b/>
      <w:bCs/>
      <w:smallCaps/>
      <w:color w:val="2F5496" w:themeColor="accent1" w:themeShade="BF"/>
      <w:spacing w:val="5"/>
    </w:rPr>
  </w:style>
  <w:style w:type="table" w:styleId="ae">
    <w:name w:val="Table Grid"/>
    <w:basedOn w:val="a1"/>
    <w:uiPriority w:val="39"/>
    <w:rsid w:val="005F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956</Words>
  <Characters>6224</Characters>
  <Application>Microsoft Office Word</Application>
  <DocSecurity>0</DocSecurity>
  <Lines>168</Lines>
  <Paragraphs>60</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Станіслав Гарнага</cp:lastModifiedBy>
  <cp:revision>5</cp:revision>
  <dcterms:created xsi:type="dcterms:W3CDTF">2025-11-28T14:43:00Z</dcterms:created>
  <dcterms:modified xsi:type="dcterms:W3CDTF">2026-01-16T09:45:00Z</dcterms:modified>
</cp:coreProperties>
</file>